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EC36" w14:textId="77777777" w:rsidR="00DF31B1" w:rsidRDefault="00D228A7">
      <w:pPr>
        <w:pStyle w:val="Title"/>
        <w:spacing w:after="120" w:line="276" w:lineRule="auto"/>
      </w:pPr>
      <w:r>
        <w:t>Job Description: Advanced Nurse Practitioner (ANP) - General Practice</w:t>
      </w:r>
    </w:p>
    <w:p w14:paraId="4E6BA045" w14:textId="77777777" w:rsidR="00DF31B1" w:rsidRDefault="00D228A7">
      <w:r>
        <w:t>Job Title: Advanced Nurse Practitioner (ANP) - General Practice</w:t>
      </w:r>
    </w:p>
    <w:p w14:paraId="11F049F1" w14:textId="2CC9540D" w:rsidR="00DF31B1" w:rsidRDefault="00D228A7">
      <w:r>
        <w:t>Accountable to: Practice Partners / Clinical Lead / Practice Operations</w:t>
      </w:r>
      <w:r>
        <w:t xml:space="preserve"> Manager</w:t>
      </w:r>
    </w:p>
    <w:p w14:paraId="4A5151FB" w14:textId="77777777" w:rsidR="00DF31B1" w:rsidRDefault="00D228A7">
      <w:r>
        <w:t>Professionally accountable to: Nursing and Midwifery Council (NMC)</w:t>
      </w:r>
    </w:p>
    <w:p w14:paraId="2CC2E333" w14:textId="5B40E3DF" w:rsidR="00DF31B1" w:rsidRDefault="00D228A7">
      <w:r>
        <w:t>Location: East Lynne Medical Centre</w:t>
      </w:r>
    </w:p>
    <w:p w14:paraId="4B92ED46" w14:textId="77777777" w:rsidR="00DF31B1" w:rsidRDefault="00D228A7">
      <w:r>
        <w:t>Version: Revised 2026, based on 2025 ANP job description</w:t>
      </w:r>
    </w:p>
    <w:p w14:paraId="5EA576C9" w14:textId="77777777" w:rsidR="00DF31B1" w:rsidRDefault="00D228A7">
      <w:pPr>
        <w:pStyle w:val="Heading1"/>
        <w:spacing w:after="120" w:line="276" w:lineRule="auto"/>
      </w:pPr>
      <w:r>
        <w:t>Job Summary</w:t>
      </w:r>
    </w:p>
    <w:p w14:paraId="0CCAED7E" w14:textId="77777777" w:rsidR="00DF31B1" w:rsidRDefault="00D228A7">
      <w:r>
        <w:t>The Advanced Nurse Practitioner (ANP) is an autonomous, highly skilled clinician working at advanced practice level, as defined by NHS England's Multi-professional Framework for Advanced Clinical Practice, across the four pillars of practice:</w:t>
      </w:r>
    </w:p>
    <w:p w14:paraId="6005A089" w14:textId="77777777" w:rsidR="00DF31B1" w:rsidRDefault="00D228A7">
      <w:pPr>
        <w:spacing w:after="120" w:line="276" w:lineRule="auto"/>
        <w:ind w:left="720" w:hanging="360"/>
      </w:pPr>
      <w:r>
        <w:t>• Clinical practice</w:t>
      </w:r>
    </w:p>
    <w:p w14:paraId="52EC9696" w14:textId="77777777" w:rsidR="00DF31B1" w:rsidRDefault="00D228A7">
      <w:pPr>
        <w:spacing w:after="120" w:line="276" w:lineRule="auto"/>
        <w:ind w:left="720" w:hanging="360"/>
      </w:pPr>
      <w:r>
        <w:t>• Leadership and management</w:t>
      </w:r>
    </w:p>
    <w:p w14:paraId="5959EB22" w14:textId="77777777" w:rsidR="00DF31B1" w:rsidRDefault="00D228A7">
      <w:pPr>
        <w:spacing w:after="120" w:line="276" w:lineRule="auto"/>
        <w:ind w:left="720" w:hanging="360"/>
      </w:pPr>
      <w:r>
        <w:t>• Education</w:t>
      </w:r>
    </w:p>
    <w:p w14:paraId="699E4DBE" w14:textId="77777777" w:rsidR="00DF31B1" w:rsidRDefault="00D228A7">
      <w:pPr>
        <w:spacing w:after="120" w:line="276" w:lineRule="auto"/>
        <w:ind w:left="720" w:hanging="360"/>
      </w:pPr>
      <w:r>
        <w:t>• Research and quality improvement</w:t>
      </w:r>
    </w:p>
    <w:p w14:paraId="79195C6B" w14:textId="77777777" w:rsidR="00DF31B1" w:rsidRDefault="00D228A7">
      <w:r>
        <w:t>Working independently and collaboratively with GPs and the wider multidisciplinary team (MDT), the ANP will:</w:t>
      </w:r>
    </w:p>
    <w:p w14:paraId="5CFB7260" w14:textId="77777777" w:rsidR="00DF31B1" w:rsidRDefault="00D228A7">
      <w:pPr>
        <w:spacing w:after="120" w:line="276" w:lineRule="auto"/>
        <w:ind w:left="720" w:hanging="360"/>
      </w:pPr>
      <w:r>
        <w:t>• Assess, diagnose and manage patients with undifferentiated, undiagnosed and complex presentations in primary care, including acute, urgent and long-term conditions.</w:t>
      </w:r>
    </w:p>
    <w:p w14:paraId="355FB04E" w14:textId="77777777" w:rsidR="00DF31B1" w:rsidRDefault="00D228A7">
      <w:pPr>
        <w:spacing w:after="120" w:line="276" w:lineRule="auto"/>
        <w:ind w:left="720" w:hanging="360"/>
      </w:pPr>
      <w:r>
        <w:t>• Provide expert clinical care via face-to-face, telephone, video and digital consultations, including Accurx Patient Triage workflows for online consultation and clinical triage.</w:t>
      </w:r>
    </w:p>
    <w:p w14:paraId="32FB7B9A" w14:textId="77777777" w:rsidR="00DF31B1" w:rsidRDefault="00D228A7">
      <w:pPr>
        <w:spacing w:after="120" w:line="276" w:lineRule="auto"/>
        <w:ind w:left="720" w:hanging="360"/>
      </w:pPr>
      <w:r>
        <w:t>• Use SystmOne as the practice electronic patient record system to record consultations, code activity accurately, review clinical history, medicines, investigations, alerts, recalls and correspondence, and support safe clinical decision-making, referrals, prescribing and follow-up.</w:t>
      </w:r>
    </w:p>
    <w:p w14:paraId="74C17F8F" w14:textId="77777777" w:rsidR="00DF31B1" w:rsidRDefault="00D228A7">
      <w:pPr>
        <w:spacing w:after="120" w:line="276" w:lineRule="auto"/>
        <w:ind w:left="720" w:hanging="360"/>
      </w:pPr>
      <w:r>
        <w:t>• Use Abtrace Proactive Monitoring to support safe, proactive, data-driven monitoring and recall of patients with long-term conditions and medicines requiring ongoing review.</w:t>
      </w:r>
    </w:p>
    <w:p w14:paraId="3E478F21" w14:textId="59B067FD" w:rsidR="00DF31B1" w:rsidRDefault="00D228A7">
      <w:pPr>
        <w:spacing w:after="120" w:line="276" w:lineRule="auto"/>
        <w:ind w:left="720" w:hanging="360"/>
      </w:pPr>
      <w:r>
        <w:t xml:space="preserve">• Use practice-approved digital, automation and AI-enabled tools, including </w:t>
      </w:r>
      <w:proofErr w:type="spellStart"/>
      <w:r>
        <w:t>Accurx</w:t>
      </w:r>
      <w:proofErr w:type="spellEnd"/>
      <w:r>
        <w:t xml:space="preserve">, </w:t>
      </w:r>
      <w:proofErr w:type="spellStart"/>
      <w:r>
        <w:t>Abtrace</w:t>
      </w:r>
      <w:proofErr w:type="spellEnd"/>
      <w:r>
        <w:t xml:space="preserve">, </w:t>
      </w:r>
      <w:proofErr w:type="gramStart"/>
      <w:r>
        <w:t xml:space="preserve">Heidi, </w:t>
      </w:r>
      <w:r>
        <w:t xml:space="preserve"> </w:t>
      </w:r>
      <w:proofErr w:type="spellStart"/>
      <w:r>
        <w:t>SystmOne</w:t>
      </w:r>
      <w:proofErr w:type="spellEnd"/>
      <w:proofErr w:type="gramEnd"/>
      <w:r>
        <w:t xml:space="preserve"> functions and any other systems implemented by the practice, PCN or ICB, to support triage, recall, monitoring, documentation, population health management, clinical safety and service improvement.</w:t>
      </w:r>
    </w:p>
    <w:p w14:paraId="5A4ABA55" w14:textId="77777777" w:rsidR="00DF31B1" w:rsidRDefault="00D228A7">
      <w:pPr>
        <w:spacing w:after="120" w:line="276" w:lineRule="auto"/>
        <w:ind w:left="720" w:hanging="360"/>
      </w:pPr>
      <w:r>
        <w:t>• Provide expert, evidence-based advice to patients, carers, colleagues and system partners, supporting high standards of clinical care and patient experience.</w:t>
      </w:r>
    </w:p>
    <w:p w14:paraId="7FDB2472" w14:textId="77777777" w:rsidR="00DF31B1" w:rsidRDefault="00D228A7">
      <w:pPr>
        <w:spacing w:after="120" w:line="276" w:lineRule="auto"/>
        <w:ind w:left="720" w:hanging="360"/>
      </w:pPr>
      <w:r>
        <w:lastRenderedPageBreak/>
        <w:t>• Contribute to the development and evaluation of new models of care, digital pathways and population health approaches in line with practice, PCN, ICB and national priorities.</w:t>
      </w:r>
    </w:p>
    <w:p w14:paraId="151213E4" w14:textId="77777777" w:rsidR="00DF31B1" w:rsidRDefault="00D228A7">
      <w:pPr>
        <w:spacing w:after="120" w:line="276" w:lineRule="auto"/>
        <w:ind w:left="720" w:hanging="360"/>
      </w:pPr>
      <w:r>
        <w:t>• Provide leadership, education and supervision to other healthcare professionals and students, supporting safe, effective advanced practice and role modelling professional standards.</w:t>
      </w:r>
    </w:p>
    <w:p w14:paraId="7191C9A6" w14:textId="77777777" w:rsidR="00DF31B1" w:rsidRDefault="00D228A7">
      <w:pPr>
        <w:spacing w:after="120" w:line="276" w:lineRule="auto"/>
        <w:ind w:left="720" w:hanging="360"/>
      </w:pPr>
      <w:r>
        <w:t>• Participate in research, audit and quality improvement to ensure care is safe, effective, person-centred and aligned with current NHS policy and regulatory standards, including NMC, CQC and NHS England requirements.</w:t>
      </w:r>
    </w:p>
    <w:p w14:paraId="00F1CB83" w14:textId="77777777" w:rsidR="00DF31B1" w:rsidRDefault="00D228A7">
      <w:pPr>
        <w:pStyle w:val="Heading1"/>
        <w:spacing w:after="120" w:line="276" w:lineRule="auto"/>
      </w:pPr>
      <w:r>
        <w:t>Primary Duties and Areas of Responsibility</w:t>
      </w:r>
    </w:p>
    <w:p w14:paraId="57190AC6" w14:textId="77777777" w:rsidR="00DF31B1" w:rsidRDefault="00D228A7">
      <w:pPr>
        <w:pStyle w:val="Heading1"/>
        <w:spacing w:after="120" w:line="276" w:lineRule="auto"/>
      </w:pPr>
      <w:r>
        <w:t>1. Clinical Care Delivery</w:t>
      </w:r>
    </w:p>
    <w:p w14:paraId="76BF31E2" w14:textId="77777777" w:rsidR="00DF31B1" w:rsidRDefault="00D228A7">
      <w:r>
        <w:t>To deliver a high standard of patient care as an ANP in general practice, using advanced autonomous clinical skills and a broad, in-depth theoretical knowledge base complementary to the GP role.</w:t>
      </w:r>
    </w:p>
    <w:p w14:paraId="1FE99C3F" w14:textId="77777777" w:rsidR="00DF31B1" w:rsidRDefault="00D228A7">
      <w:pPr>
        <w:pStyle w:val="Heading2"/>
        <w:spacing w:after="120" w:line="276" w:lineRule="auto"/>
      </w:pPr>
      <w:r>
        <w:t>Clinical assessment and decision-making</w:t>
      </w:r>
    </w:p>
    <w:p w14:paraId="601BDB27" w14:textId="77777777" w:rsidR="00DF31B1" w:rsidRDefault="00D228A7">
      <w:pPr>
        <w:spacing w:after="120" w:line="276" w:lineRule="auto"/>
        <w:ind w:left="720" w:hanging="360"/>
      </w:pPr>
      <w:r>
        <w:t>• Receive and manage patients with undifferentiated and undiagnosed problems across the life course, undertaking comprehensive clinical assessment, including history taking, physical examination and risk stratification, in line with advanced practice standards.</w:t>
      </w:r>
    </w:p>
    <w:p w14:paraId="27B33ED6" w14:textId="5123D110" w:rsidR="00DF31B1" w:rsidRDefault="00D228A7">
      <w:pPr>
        <w:spacing w:after="120" w:line="276" w:lineRule="auto"/>
        <w:ind w:left="720" w:hanging="360"/>
      </w:pPr>
      <w:r>
        <w:t xml:space="preserve">• Initiate, undertake and interpret a range of observations, </w:t>
      </w:r>
      <w:r>
        <w:t xml:space="preserve">diagnostic tests and routine clinical procedures, </w:t>
      </w:r>
      <w:r>
        <w:t>and phlebotomy where required, to inform clinical decisions.</w:t>
      </w:r>
    </w:p>
    <w:p w14:paraId="227E5F27" w14:textId="77777777" w:rsidR="00DF31B1" w:rsidRDefault="00D228A7">
      <w:pPr>
        <w:spacing w:after="120" w:line="276" w:lineRule="auto"/>
        <w:ind w:left="720" w:hanging="360"/>
      </w:pPr>
      <w:r>
        <w:t>• Formulate differential diagnoses and management plans for acute, urgent and long-term conditions, using evidence-based guidelines, clinical judgement and shared decision-making with patients.</w:t>
      </w:r>
    </w:p>
    <w:p w14:paraId="6515129D" w14:textId="77777777" w:rsidR="00DF31B1" w:rsidRDefault="00D228A7">
      <w:pPr>
        <w:spacing w:after="120" w:line="276" w:lineRule="auto"/>
        <w:ind w:left="720" w:hanging="360"/>
      </w:pPr>
      <w:r>
        <w:t>• Make complex clinical decisions where precedents may not exist, working within scope of practice and local governance arrangements, and seeking senior clinical support where appropriate.</w:t>
      </w:r>
    </w:p>
    <w:p w14:paraId="7477FAC2" w14:textId="77777777" w:rsidR="00DF31B1" w:rsidRDefault="00D228A7">
      <w:pPr>
        <w:pStyle w:val="Heading2"/>
        <w:spacing w:after="120" w:line="276" w:lineRule="auto"/>
      </w:pPr>
      <w:r>
        <w:t>Prescribing and treatment</w:t>
      </w:r>
    </w:p>
    <w:p w14:paraId="39DBC9A1" w14:textId="77777777" w:rsidR="00DF31B1" w:rsidRDefault="00D228A7">
      <w:pPr>
        <w:spacing w:after="120" w:line="276" w:lineRule="auto"/>
        <w:ind w:left="720" w:hanging="360"/>
      </w:pPr>
      <w:r>
        <w:t>• Act as an independent nurse prescriber (V300), prescribing safely and appropriately in accordance with national and local guidelines, formulary and medicines optimisation principles.</w:t>
      </w:r>
    </w:p>
    <w:p w14:paraId="3FD307B8" w14:textId="77777777" w:rsidR="00DF31B1" w:rsidRDefault="00D228A7">
      <w:pPr>
        <w:spacing w:after="120" w:line="276" w:lineRule="auto"/>
        <w:ind w:left="720" w:hanging="360"/>
      </w:pPr>
      <w:r>
        <w:t>• Use SystmOne prescribing functions, medicines history, clinical alerts, coded data and relevant decision-support information to support safe prescribing, medication review, monitoring and audit trails.</w:t>
      </w:r>
    </w:p>
    <w:p w14:paraId="1DDBFCB5" w14:textId="77777777" w:rsidR="00DF31B1" w:rsidRDefault="00D228A7">
      <w:pPr>
        <w:spacing w:after="120" w:line="276" w:lineRule="auto"/>
        <w:ind w:left="720" w:hanging="360"/>
      </w:pPr>
      <w:r>
        <w:t>• Provide treatment and care as an individual practitioner, as part of the multidisciplinary team and via appropriate referral to other services, including community, mental health, social care and voluntary sector services.</w:t>
      </w:r>
    </w:p>
    <w:p w14:paraId="1B7A5D95" w14:textId="37FB1F53" w:rsidR="00DF31B1" w:rsidRDefault="00D228A7">
      <w:pPr>
        <w:spacing w:after="120" w:line="276" w:lineRule="auto"/>
        <w:ind w:left="720" w:hanging="360"/>
      </w:pPr>
      <w:r>
        <w:lastRenderedPageBreak/>
        <w:t xml:space="preserve">• Initiate and adjust treatment for patients with stable and complex long-term conditions, including diabetes, mental health, </w:t>
      </w:r>
      <w:r>
        <w:t>COPD, asthma, cardiovascular disease and CKD, in line with national guidelines and local pathways.</w:t>
      </w:r>
    </w:p>
    <w:p w14:paraId="4064EEF3" w14:textId="77777777" w:rsidR="00DF31B1" w:rsidRDefault="00D228A7">
      <w:pPr>
        <w:pStyle w:val="Heading2"/>
        <w:spacing w:after="120" w:line="276" w:lineRule="auto"/>
      </w:pPr>
      <w:r>
        <w:t>Referrals and escalation</w:t>
      </w:r>
    </w:p>
    <w:p w14:paraId="7B2FC79A" w14:textId="77777777" w:rsidR="00DF31B1" w:rsidRDefault="00D228A7">
      <w:pPr>
        <w:spacing w:after="120" w:line="276" w:lineRule="auto"/>
        <w:ind w:left="720" w:hanging="360"/>
      </w:pPr>
      <w:r>
        <w:t>• Refer patients to other medical specialties for assessment as appropriate, including radiology, community diagnostic services and specialist services in line with agreed protocols.</w:t>
      </w:r>
    </w:p>
    <w:p w14:paraId="73094B4A" w14:textId="77777777" w:rsidR="00DF31B1" w:rsidRDefault="00D228A7">
      <w:pPr>
        <w:spacing w:after="120" w:line="276" w:lineRule="auto"/>
        <w:ind w:left="720" w:hanging="360"/>
      </w:pPr>
      <w:r>
        <w:t>• Directly admit patients with acute medical need to secondary care where indicated, using agreed urgent and emergency referral pathways.</w:t>
      </w:r>
    </w:p>
    <w:p w14:paraId="469A48E6" w14:textId="77777777" w:rsidR="00DF31B1" w:rsidRDefault="00D228A7">
      <w:pPr>
        <w:spacing w:after="120" w:line="276" w:lineRule="auto"/>
        <w:ind w:left="720" w:hanging="360"/>
      </w:pPr>
      <w:r>
        <w:t>• Provide clinical advice and support to other members of the MDT when standard protocols do not apply, ensuring safe escalation where needed.</w:t>
      </w:r>
    </w:p>
    <w:p w14:paraId="27EB7281" w14:textId="77777777" w:rsidR="00DF31B1" w:rsidRDefault="00D228A7">
      <w:pPr>
        <w:pStyle w:val="Heading2"/>
        <w:spacing w:after="120" w:line="276" w:lineRule="auto"/>
      </w:pPr>
      <w:r>
        <w:t>Digital and remote clinical care: SystmOne, Accurx, Abtrace and AI-enabled tools</w:t>
      </w:r>
    </w:p>
    <w:p w14:paraId="0E947544" w14:textId="77777777" w:rsidR="00DF31B1" w:rsidRDefault="00D228A7">
      <w:pPr>
        <w:spacing w:after="120" w:line="276" w:lineRule="auto"/>
        <w:ind w:left="720" w:hanging="360"/>
      </w:pPr>
      <w:r>
        <w:t>• Use SystmOne to document all consultations, clinical decisions, safety-netting, prescribing, investigations, referrals and follow-up actions accurately, contemporaneously and in accordance with professional and legal standards.</w:t>
      </w:r>
    </w:p>
    <w:p w14:paraId="7063603B" w14:textId="77777777" w:rsidR="00DF31B1" w:rsidRDefault="00D228A7">
      <w:pPr>
        <w:spacing w:after="120" w:line="276" w:lineRule="auto"/>
        <w:ind w:left="720" w:hanging="360"/>
      </w:pPr>
      <w:r>
        <w:t>• Maintain high-quality coding, use appropriate templates and ensure accurate data entry in SystmOne to support continuity of care, QOF, audit, recall, medicines safety, population health and reporting requirements.</w:t>
      </w:r>
    </w:p>
    <w:p w14:paraId="2F6FAFEB" w14:textId="77777777" w:rsidR="00DF31B1" w:rsidRDefault="00D228A7">
      <w:pPr>
        <w:spacing w:after="120" w:line="276" w:lineRule="auto"/>
        <w:ind w:left="720" w:hanging="360"/>
      </w:pPr>
      <w:r>
        <w:t>• Use Accurx Patient Triage / Total Triage as part of a digital-first, total triage model to clinically review online consultation requests, telephone contacts and administrative queries.</w:t>
      </w:r>
    </w:p>
    <w:p w14:paraId="6ABCA734" w14:textId="77777777" w:rsidR="00DF31B1" w:rsidRDefault="00D228A7">
      <w:pPr>
        <w:spacing w:after="120" w:line="276" w:lineRule="auto"/>
        <w:ind w:left="720" w:hanging="360"/>
      </w:pPr>
      <w:r>
        <w:t>• Apply clinical prioritisation, including RAG rating or local triage categories where used, to allocate patients to the most appropriate clinician, service and timeframe.</w:t>
      </w:r>
    </w:p>
    <w:p w14:paraId="6267781D" w14:textId="77777777" w:rsidR="00DF31B1" w:rsidRDefault="00D228A7">
      <w:pPr>
        <w:spacing w:after="120" w:line="276" w:lineRule="auto"/>
        <w:ind w:left="720" w:hanging="360"/>
      </w:pPr>
      <w:r>
        <w:t>• Provide remote advice, self-care guidance, prescriptions, fit notes, referral letters and safety-netting information via SMS or other Accurx communication tools where clinically appropriate.</w:t>
      </w:r>
    </w:p>
    <w:p w14:paraId="3677E4E6" w14:textId="77777777" w:rsidR="00DF31B1" w:rsidRDefault="00D228A7">
      <w:pPr>
        <w:spacing w:after="120" w:line="276" w:lineRule="auto"/>
        <w:ind w:left="720" w:hanging="360"/>
      </w:pPr>
      <w:r>
        <w:t>• Promote equitable digital access, ensuring reasonable adjustments and alternative contact routes for patients with digital, language, sensory, cognitive or other barriers.</w:t>
      </w:r>
    </w:p>
    <w:p w14:paraId="309528C4" w14:textId="77777777" w:rsidR="00DF31B1" w:rsidRDefault="00D228A7">
      <w:pPr>
        <w:spacing w:after="120" w:line="276" w:lineRule="auto"/>
        <w:ind w:left="720" w:hanging="360"/>
      </w:pPr>
      <w:r>
        <w:t>• Use Abtrace Proactive Monitoring to identify patients who are due or overdue monitoring, tests, immunisations, reviews or medicines safety checks.</w:t>
      </w:r>
    </w:p>
    <w:p w14:paraId="6549BF8B" w14:textId="77777777" w:rsidR="00DF31B1" w:rsidRDefault="00D228A7">
      <w:pPr>
        <w:spacing w:after="120" w:line="276" w:lineRule="auto"/>
        <w:ind w:left="720" w:hanging="360"/>
      </w:pPr>
      <w:r>
        <w:t>• Support safe long-term condition management and repeat prescribing by reviewing Abtrace prompts during consultations and acting upon them in line with clinical judgement, guidelines and practice protocols.</w:t>
      </w:r>
    </w:p>
    <w:p w14:paraId="59461741" w14:textId="77777777" w:rsidR="00DF31B1" w:rsidRDefault="00D228A7">
      <w:pPr>
        <w:spacing w:after="120" w:line="276" w:lineRule="auto"/>
        <w:ind w:left="720" w:hanging="360"/>
      </w:pPr>
      <w:r>
        <w:t>• Contribute to automated recall processes and self-booking initiatives, ensuring appropriate clinical oversight, safety-netting, documentation and escalation.</w:t>
      </w:r>
    </w:p>
    <w:p w14:paraId="70F6F7B2" w14:textId="77777777" w:rsidR="00DF31B1" w:rsidRDefault="00D228A7">
      <w:pPr>
        <w:spacing w:after="120" w:line="276" w:lineRule="auto"/>
        <w:ind w:left="720" w:hanging="360"/>
      </w:pPr>
      <w:r>
        <w:lastRenderedPageBreak/>
        <w:t>• Use Abtrace dashboards and lists to support practice and PCN-wide proactive care, population health management and reduction of unwarranted variation.</w:t>
      </w:r>
    </w:p>
    <w:p w14:paraId="4D8954C2" w14:textId="2B7B29A9" w:rsidR="00DF31B1" w:rsidRDefault="00D228A7">
      <w:pPr>
        <w:spacing w:after="120" w:line="276" w:lineRule="auto"/>
        <w:ind w:left="720" w:hanging="360"/>
      </w:pPr>
      <w:r>
        <w:t>• Use practice-approved digital, automation and AI-enabled tools only were</w:t>
      </w:r>
      <w:r>
        <w:t xml:space="preserve"> implemented and governed by the practice, PCN or ICB, and only with appropriate professional judgement, human oversight, information governance, data protection, clinical safety and practice policy compliance.</w:t>
      </w:r>
    </w:p>
    <w:p w14:paraId="2885824D" w14:textId="77777777" w:rsidR="00DF31B1" w:rsidRDefault="00D228A7">
      <w:pPr>
        <w:spacing w:after="120" w:line="276" w:lineRule="auto"/>
        <w:ind w:left="720" w:hanging="360"/>
      </w:pPr>
      <w:r>
        <w:t>• Ensure that AI-enabled or automation-supported outputs are treated as decision-support only and do not replace clinical assessment, professional accountability, safeguarding responsibilities, patient choice or shared decision-making.</w:t>
      </w:r>
    </w:p>
    <w:p w14:paraId="24E48610" w14:textId="77777777" w:rsidR="00DF31B1" w:rsidRDefault="00D228A7">
      <w:pPr>
        <w:pStyle w:val="Heading2"/>
        <w:spacing w:after="120" w:line="276" w:lineRule="auto"/>
      </w:pPr>
      <w:r>
        <w:t>Chronic disease and long-term condition management</w:t>
      </w:r>
    </w:p>
    <w:p w14:paraId="6DF7CF3A" w14:textId="77777777" w:rsidR="00DF31B1" w:rsidRDefault="00D228A7">
      <w:pPr>
        <w:spacing w:after="120" w:line="276" w:lineRule="auto"/>
        <w:ind w:left="720" w:hanging="360"/>
      </w:pPr>
      <w:r>
        <w:t>• Initiate and support diagnosis for patients suspected of having a chronic disease, such as diabetes, COPD, asthma or heart failure, conducting initial work-up and liaising with GPs or specialist services as required.</w:t>
      </w:r>
    </w:p>
    <w:p w14:paraId="56D5E5D8" w14:textId="77777777" w:rsidR="00DF31B1" w:rsidRDefault="00D228A7">
      <w:pPr>
        <w:spacing w:after="120" w:line="276" w:lineRule="auto"/>
        <w:ind w:left="720" w:hanging="360"/>
      </w:pPr>
      <w:r>
        <w:t>• Provide structured reviews for long-term conditions, including medication review, lifestyle advice, personalised care and support planning and risk factor optimisation.</w:t>
      </w:r>
    </w:p>
    <w:p w14:paraId="66DF8062" w14:textId="77777777" w:rsidR="00DF31B1" w:rsidRDefault="00D228A7">
      <w:pPr>
        <w:spacing w:after="120" w:line="276" w:lineRule="auto"/>
        <w:ind w:left="720" w:hanging="360"/>
      </w:pPr>
      <w:r>
        <w:t>• Contribute to the achievement of practice and PCN targets related to QOF, enhanced services and other national or local incentive schemes, including vaccination and screening uptake.</w:t>
      </w:r>
    </w:p>
    <w:p w14:paraId="274D258A" w14:textId="77777777" w:rsidR="00DF31B1" w:rsidRDefault="00D228A7">
      <w:pPr>
        <w:spacing w:after="120" w:line="276" w:lineRule="auto"/>
        <w:ind w:left="720" w:hanging="360"/>
      </w:pPr>
      <w:r>
        <w:t>• Undertake regular reviews of patients' understanding, activation and ability to self-manage, supporting personalised care, shared decision-making and use of digital tools where appropriate.</w:t>
      </w:r>
    </w:p>
    <w:p w14:paraId="55A5F539" w14:textId="77777777" w:rsidR="00DF31B1" w:rsidRDefault="00D228A7">
      <w:pPr>
        <w:pStyle w:val="Heading2"/>
        <w:spacing w:after="120" w:line="276" w:lineRule="auto"/>
      </w:pPr>
      <w:r>
        <w:t>Professional standards and governance</w:t>
      </w:r>
    </w:p>
    <w:p w14:paraId="5ABD8098" w14:textId="77777777" w:rsidR="00DF31B1" w:rsidRDefault="00D228A7">
      <w:pPr>
        <w:spacing w:after="120" w:line="276" w:lineRule="auto"/>
        <w:ind w:left="720" w:hanging="360"/>
      </w:pPr>
      <w:r>
        <w:t>• Work within all relevant practice, PCN and ICB policies and procedural guidelines, including infection prevention and control, chaperoning, safeguarding, risk management, prescribing, digital and information governance.</w:t>
      </w:r>
    </w:p>
    <w:p w14:paraId="32FB2ED8" w14:textId="77777777" w:rsidR="00DF31B1" w:rsidRDefault="00D228A7">
      <w:pPr>
        <w:spacing w:after="120" w:line="276" w:lineRule="auto"/>
        <w:ind w:left="720" w:hanging="360"/>
      </w:pPr>
      <w:r>
        <w:t xml:space="preserve">• Develop and manage highly specialised programmes of care and care </w:t>
      </w:r>
      <w:proofErr w:type="gramStart"/>
      <w:r>
        <w:t>packages, and</w:t>
      </w:r>
      <w:proofErr w:type="gramEnd"/>
      <w:r>
        <w:t xml:space="preserve"> provide highly specialised advice in areas such as complex multimorbidity, frailty and mental health co-morbidity.</w:t>
      </w:r>
    </w:p>
    <w:p w14:paraId="6940F653" w14:textId="77777777" w:rsidR="00DF31B1" w:rsidRDefault="00D228A7">
      <w:pPr>
        <w:spacing w:after="120" w:line="276" w:lineRule="auto"/>
        <w:ind w:left="720" w:hanging="360"/>
      </w:pPr>
      <w:r>
        <w:t>• Work within personal competence, scope of practice, prescribing competence and local clinical governance arrangements, escalating to a GP or senior clinician where required.</w:t>
      </w:r>
    </w:p>
    <w:p w14:paraId="7C36B088" w14:textId="77777777" w:rsidR="00DF31B1" w:rsidRDefault="00D228A7">
      <w:pPr>
        <w:pStyle w:val="Heading1"/>
        <w:spacing w:after="120" w:line="276" w:lineRule="auto"/>
      </w:pPr>
      <w:r>
        <w:t>2. Health Improvement and Prevention</w:t>
      </w:r>
    </w:p>
    <w:p w14:paraId="591F3E33" w14:textId="77777777" w:rsidR="00DF31B1" w:rsidRDefault="00D228A7">
      <w:pPr>
        <w:spacing w:after="120" w:line="276" w:lineRule="auto"/>
        <w:ind w:left="720" w:hanging="360"/>
      </w:pPr>
      <w:r>
        <w:t>• Develop, with the patient, an ongoing, person-centred care plan with emphasis on prevention, early intervention, self-management and personalised care and support planning.</w:t>
      </w:r>
    </w:p>
    <w:p w14:paraId="1EA220D7" w14:textId="77777777" w:rsidR="00DF31B1" w:rsidRDefault="00D228A7">
      <w:pPr>
        <w:spacing w:after="120" w:line="276" w:lineRule="auto"/>
        <w:ind w:left="720" w:hanging="360"/>
      </w:pPr>
      <w:r>
        <w:t>• Initiate and deliver programmes of health promotion and health screening, including NHS Health Checks, cancer screening uptake and vaccination campaigns, and ensure the wider team are aware of current health agendas.</w:t>
      </w:r>
    </w:p>
    <w:p w14:paraId="4CD2AAAD" w14:textId="77777777" w:rsidR="00DF31B1" w:rsidRDefault="00D228A7">
      <w:pPr>
        <w:spacing w:after="120" w:line="276" w:lineRule="auto"/>
        <w:ind w:left="720" w:hanging="360"/>
      </w:pPr>
      <w:r>
        <w:lastRenderedPageBreak/>
        <w:t>• Use practice data, SystmOne searches and reports, digital tools including Abtrace population-level views where available, and Core20PLUS5 or local health inequalities data to identify at-risk groups and target interventions to reduce inequalities.</w:t>
      </w:r>
    </w:p>
    <w:p w14:paraId="48EA8F21" w14:textId="77777777" w:rsidR="00DF31B1" w:rsidRDefault="00D228A7">
      <w:pPr>
        <w:spacing w:after="120" w:line="276" w:lineRule="auto"/>
        <w:ind w:left="720" w:hanging="360"/>
      </w:pPr>
      <w:r>
        <w:t>• Introduce and share innovations in practice that respond to the changing health needs of the local population, such as virtual group consultations, digital self-management resources and social prescribing.</w:t>
      </w:r>
    </w:p>
    <w:p w14:paraId="6981CE7C" w14:textId="77777777" w:rsidR="00DF31B1" w:rsidRDefault="00D228A7">
      <w:pPr>
        <w:spacing w:after="120" w:line="276" w:lineRule="auto"/>
        <w:ind w:left="720" w:hanging="360"/>
      </w:pPr>
      <w:r>
        <w:t>• Support colleagues in profiling the practice population, contributing to population health management and anticipatory care approaches.</w:t>
      </w:r>
    </w:p>
    <w:p w14:paraId="33DB61A9" w14:textId="77777777" w:rsidR="00DF31B1" w:rsidRDefault="00D228A7">
      <w:pPr>
        <w:spacing w:after="120" w:line="276" w:lineRule="auto"/>
        <w:ind w:left="720" w:hanging="360"/>
      </w:pPr>
      <w:r>
        <w:t>• Make referrals to statutory, voluntary and community sector organisations, such as social prescribing link workers, community mental health, carers' support, housing and financial wellbeing services, as appropriate.</w:t>
      </w:r>
    </w:p>
    <w:p w14:paraId="023E587B" w14:textId="77777777" w:rsidR="00DF31B1" w:rsidRDefault="00D228A7">
      <w:pPr>
        <w:pStyle w:val="Heading1"/>
        <w:spacing w:after="120" w:line="276" w:lineRule="auto"/>
      </w:pPr>
      <w:r>
        <w:t>3. Quality Assurance, Governance, Service, Strategic and Policy Development</w:t>
      </w:r>
    </w:p>
    <w:p w14:paraId="2CD5101F" w14:textId="77777777" w:rsidR="00DF31B1" w:rsidRDefault="00D228A7">
      <w:pPr>
        <w:spacing w:after="120" w:line="276" w:lineRule="auto"/>
        <w:ind w:left="720" w:hanging="360"/>
      </w:pPr>
      <w:r>
        <w:t>• Contribute to the strategic development of primary care and public health services within the practice, PCN and wider system, working across multi-professional, organisational and sector boundaries.</w:t>
      </w:r>
    </w:p>
    <w:p w14:paraId="04D839E7" w14:textId="77777777" w:rsidR="00DF31B1" w:rsidRDefault="00D228A7">
      <w:pPr>
        <w:spacing w:after="120" w:line="276" w:lineRule="auto"/>
        <w:ind w:left="720" w:hanging="360"/>
      </w:pPr>
      <w:r>
        <w:t xml:space="preserve">• Work at the forefront of practice innovation, addressing complex, ambiguous or unique problems </w:t>
      </w:r>
      <w:proofErr w:type="gramStart"/>
      <w:r>
        <w:t>in order to</w:t>
      </w:r>
      <w:proofErr w:type="gramEnd"/>
      <w:r>
        <w:t xml:space="preserve"> improve patient outcomes, system efficiency and staff wellbeing.</w:t>
      </w:r>
    </w:p>
    <w:p w14:paraId="763205B7" w14:textId="77777777" w:rsidR="00DF31B1" w:rsidRDefault="00D228A7">
      <w:pPr>
        <w:spacing w:after="120" w:line="276" w:lineRule="auto"/>
        <w:ind w:left="720" w:hanging="360"/>
      </w:pPr>
      <w:r>
        <w:t>• Interpret national and local policies, including NHS Long Term Plan, GP Contract, ICB strategies, CQC and NICE guidance, and translate them into practice-level protocols and pathways.</w:t>
      </w:r>
    </w:p>
    <w:p w14:paraId="78124386" w14:textId="77777777" w:rsidR="00DF31B1" w:rsidRDefault="00D228A7">
      <w:pPr>
        <w:spacing w:after="120" w:line="276" w:lineRule="auto"/>
        <w:ind w:left="720" w:hanging="360"/>
      </w:pPr>
      <w:r>
        <w:t>• Implement local, national and practice policies and propose developments and improvements to service delivery, particularly in relation to advanced practice governance and supervision, digital and remote care, long-term condition management and population health.</w:t>
      </w:r>
    </w:p>
    <w:p w14:paraId="6FB56A3B" w14:textId="77777777" w:rsidR="00DF31B1" w:rsidRDefault="00D228A7">
      <w:pPr>
        <w:spacing w:after="120" w:line="276" w:lineRule="auto"/>
        <w:ind w:left="720" w:hanging="360"/>
      </w:pPr>
      <w:r>
        <w:t>• Lead or participate in clinical audit, evaluation, incident review and quality improvement projects, ensuring learning is embedded in practice through changes in protocols, documentation or training.</w:t>
      </w:r>
    </w:p>
    <w:p w14:paraId="1DB951B2" w14:textId="77777777" w:rsidR="00DF31B1" w:rsidRDefault="00D228A7">
      <w:pPr>
        <w:spacing w:after="120" w:line="276" w:lineRule="auto"/>
        <w:ind w:left="720" w:hanging="360"/>
      </w:pPr>
      <w:r>
        <w:t>• Instigate audit activity where necessary, such as new services, prescribing patterns, compliance with monitoring requirements identified via Abtrace, vaccination uptake and digital access inequality.</w:t>
      </w:r>
    </w:p>
    <w:p w14:paraId="697FE1AB" w14:textId="77777777" w:rsidR="00DF31B1" w:rsidRDefault="00D228A7">
      <w:pPr>
        <w:spacing w:after="120" w:line="276" w:lineRule="auto"/>
        <w:ind w:left="720" w:hanging="360"/>
      </w:pPr>
      <w:r>
        <w:t>• Analyse practice data, including data from SystmOne, Abtrace, Accurx and other approved digital or AI-enabled tools where available, to support improvement in screening, immunisation and chronic disease management and to reduce unwarranted variation and health inequalities.</w:t>
      </w:r>
    </w:p>
    <w:p w14:paraId="6A014C50" w14:textId="77777777" w:rsidR="00DF31B1" w:rsidRDefault="00D228A7">
      <w:pPr>
        <w:spacing w:after="120" w:line="276" w:lineRule="auto"/>
        <w:ind w:left="720" w:hanging="360"/>
      </w:pPr>
      <w:r>
        <w:t>• Contribute to cost-effective use of resources, advising on clinical equipment, digital tools and consumables and supporting safe, sustainable models of care.</w:t>
      </w:r>
    </w:p>
    <w:p w14:paraId="4ED9882E" w14:textId="77777777" w:rsidR="00DF31B1" w:rsidRDefault="00D228A7">
      <w:pPr>
        <w:spacing w:after="120" w:line="276" w:lineRule="auto"/>
        <w:ind w:left="720" w:hanging="360"/>
      </w:pPr>
      <w:r>
        <w:lastRenderedPageBreak/>
        <w:t>• Ensure clinical correspondence, safety alerts, MHRA notifications and patient safety reports are actioned promptly and that changes are communicated and implemented across the nursing and wider team.</w:t>
      </w:r>
    </w:p>
    <w:p w14:paraId="0A4A34DD" w14:textId="77777777" w:rsidR="00DF31B1" w:rsidRDefault="00D228A7">
      <w:pPr>
        <w:spacing w:after="120" w:line="276" w:lineRule="auto"/>
        <w:ind w:left="720" w:hanging="360"/>
      </w:pPr>
      <w:r>
        <w:t>• Ensure all consultations, care episodes and clinical decisions are recorded accurately, contemporaneously and in line with professional and legal standards in SystmOne, optimising templates, coding and data quality.</w:t>
      </w:r>
    </w:p>
    <w:p w14:paraId="5BDAC831" w14:textId="77777777" w:rsidR="00DF31B1" w:rsidRDefault="00D228A7">
      <w:pPr>
        <w:spacing w:after="120" w:line="276" w:lineRule="auto"/>
        <w:ind w:left="720" w:hanging="360"/>
      </w:pPr>
      <w:r>
        <w:t>• Participate in governance processes for any AI-enabled or automation-supported tools adopted by the practice, including evaluation, safety monitoring, incident reporting, bias or inequality considerations, documentation standards and staff training requirements.</w:t>
      </w:r>
    </w:p>
    <w:p w14:paraId="733EEBB2" w14:textId="77777777" w:rsidR="00DF31B1" w:rsidRDefault="00D228A7">
      <w:pPr>
        <w:pStyle w:val="Heading1"/>
        <w:spacing w:after="120" w:line="276" w:lineRule="auto"/>
      </w:pPr>
      <w:r>
        <w:t>4. Continuing Professional Development and Management / Leadership of Others</w:t>
      </w:r>
    </w:p>
    <w:p w14:paraId="4FE4FB15" w14:textId="77777777" w:rsidR="00DF31B1" w:rsidRDefault="00D228A7">
      <w:pPr>
        <w:spacing w:after="120" w:line="276" w:lineRule="auto"/>
        <w:ind w:left="720" w:hanging="360"/>
      </w:pPr>
      <w:r>
        <w:t>• Maintain NMC registration and fulfil all requirements for revalidation, keeping a robust portfolio of evidence.</w:t>
      </w:r>
    </w:p>
    <w:p w14:paraId="1E81325E" w14:textId="77777777" w:rsidR="00DF31B1" w:rsidRDefault="00D228A7">
      <w:pPr>
        <w:spacing w:after="120" w:line="276" w:lineRule="auto"/>
        <w:ind w:left="720" w:hanging="360"/>
      </w:pPr>
      <w:r>
        <w:t>• Practise within the NMC Code, the advanced practice governance framework and local clinical governance arrangements, engaging in regular clinical supervision and advanced practice peer support.</w:t>
      </w:r>
    </w:p>
    <w:p w14:paraId="5D75FC8A" w14:textId="77777777" w:rsidR="00DF31B1" w:rsidRDefault="00D228A7">
      <w:pPr>
        <w:spacing w:after="120" w:line="276" w:lineRule="auto"/>
        <w:ind w:left="720" w:hanging="360"/>
      </w:pPr>
      <w:r>
        <w:t xml:space="preserve">• Maintain and advance knowledge, skills and competence to </w:t>
      </w:r>
      <w:proofErr w:type="gramStart"/>
      <w:r>
        <w:t>Master's</w:t>
      </w:r>
      <w:proofErr w:type="gramEnd"/>
      <w:r>
        <w:t xml:space="preserve"> level (Level 7) in line with the NHS England Multi-professional Framework for Advanced Clinical Practice, meeting all four pillars.</w:t>
      </w:r>
    </w:p>
    <w:p w14:paraId="12662369" w14:textId="77777777" w:rsidR="00DF31B1" w:rsidRDefault="00D228A7">
      <w:pPr>
        <w:spacing w:after="120" w:line="276" w:lineRule="auto"/>
        <w:ind w:left="720" w:hanging="360"/>
      </w:pPr>
      <w:r>
        <w:t>• Actively identify personal learning needs and CPD requirements, including advanced assessment and diagnostics, complex decision-making and risk management, digital clinical systems, leadership, supervision, coaching, research, audit and quality improvement methods.</w:t>
      </w:r>
    </w:p>
    <w:p w14:paraId="73692E7C" w14:textId="77777777" w:rsidR="00DF31B1" w:rsidRDefault="00D228A7">
      <w:pPr>
        <w:spacing w:after="120" w:line="276" w:lineRule="auto"/>
        <w:ind w:left="720" w:hanging="360"/>
      </w:pPr>
      <w:r>
        <w:t>• Maintain competence in the use of SystmOne, Accurx, Abtrace and other digital, automation or AI-supported tools adopted by the practice, ensuring accurate coding, safe documentation, appropriate escalation and clear audit trails for clinical decisions.</w:t>
      </w:r>
    </w:p>
    <w:p w14:paraId="252945DB" w14:textId="77777777" w:rsidR="00DF31B1" w:rsidRDefault="00D228A7">
      <w:pPr>
        <w:spacing w:after="120" w:line="276" w:lineRule="auto"/>
        <w:ind w:left="720" w:hanging="360"/>
      </w:pPr>
      <w:r>
        <w:t>• Participate in annual appraisal and performance review, ensuring personal development objectives are aligned with practice, PCN and ICB priorities.</w:t>
      </w:r>
    </w:p>
    <w:p w14:paraId="3B69B14F" w14:textId="77777777" w:rsidR="00DF31B1" w:rsidRDefault="00D228A7">
      <w:pPr>
        <w:spacing w:after="120" w:line="276" w:lineRule="auto"/>
        <w:ind w:left="720" w:hanging="360"/>
      </w:pPr>
      <w:r>
        <w:t>• Provide visible clinical leadership within the practice and PCN, acting as a role model for advanced practice, professional behaviour, civility and inclusive leadership.</w:t>
      </w:r>
    </w:p>
    <w:p w14:paraId="60C3F9DD" w14:textId="77777777" w:rsidR="00DF31B1" w:rsidRDefault="00D228A7">
      <w:pPr>
        <w:spacing w:after="120" w:line="276" w:lineRule="auto"/>
        <w:ind w:left="720" w:hanging="360"/>
      </w:pPr>
      <w:r>
        <w:t>• Encourage and motivate colleagues to innovate, improve pathways and adopt new ways of working that safely enhance access, quality and patient experience.</w:t>
      </w:r>
    </w:p>
    <w:p w14:paraId="59558F24" w14:textId="77777777" w:rsidR="00DF31B1" w:rsidRDefault="00D228A7">
      <w:pPr>
        <w:spacing w:after="120" w:line="276" w:lineRule="auto"/>
        <w:ind w:left="720" w:hanging="360"/>
      </w:pPr>
      <w:r>
        <w:t>• Develop and lead evidence-based protocols, clinical guidelines and care pathways, especially within the ANP/ACP nursing team and for digital and remote care.</w:t>
      </w:r>
    </w:p>
    <w:p w14:paraId="42613B95" w14:textId="77777777" w:rsidR="00DF31B1" w:rsidRDefault="00D228A7">
      <w:pPr>
        <w:spacing w:after="120" w:line="276" w:lineRule="auto"/>
        <w:ind w:left="720" w:hanging="360"/>
      </w:pPr>
      <w:r>
        <w:t>• Actively participate in and contribute to clinical, MDT and practice / PCN meetings.</w:t>
      </w:r>
    </w:p>
    <w:p w14:paraId="2737A55D" w14:textId="77777777" w:rsidR="00DF31B1" w:rsidRDefault="00D228A7">
      <w:pPr>
        <w:spacing w:after="120" w:line="276" w:lineRule="auto"/>
        <w:ind w:left="720" w:hanging="360"/>
      </w:pPr>
      <w:r>
        <w:lastRenderedPageBreak/>
        <w:t>• Lead on identification, delivery and evaluation of in-house training for the clinical team, including safe use of SystmOne, Accurx, Abtrace, prescribing updates, long-term condition management and any other practice-approved digital or AI-enabled tools.</w:t>
      </w:r>
    </w:p>
    <w:p w14:paraId="1CCF9949" w14:textId="77777777" w:rsidR="00DF31B1" w:rsidRDefault="00D228A7">
      <w:pPr>
        <w:spacing w:after="120" w:line="276" w:lineRule="auto"/>
        <w:ind w:left="720" w:hanging="360"/>
      </w:pPr>
      <w:r>
        <w:t>• Support and supervise trainee Advanced Clinical Practitioners / Nurse Practitioners and act as mentor, practice supervisor or assessor for pre-registration students and other staff.</w:t>
      </w:r>
    </w:p>
    <w:p w14:paraId="63383758" w14:textId="77777777" w:rsidR="00DF31B1" w:rsidRDefault="00D228A7">
      <w:pPr>
        <w:spacing w:after="120" w:line="276" w:lineRule="auto"/>
        <w:ind w:left="720" w:hanging="360"/>
      </w:pPr>
      <w:r>
        <w:t>• Maintain high standards of probity, upholding professional, ethical and organisational values.</w:t>
      </w:r>
    </w:p>
    <w:p w14:paraId="7EB02326" w14:textId="77777777" w:rsidR="00DF31B1" w:rsidRDefault="00D228A7">
      <w:pPr>
        <w:pStyle w:val="Heading1"/>
        <w:spacing w:after="120" w:line="276" w:lineRule="auto"/>
      </w:pPr>
      <w:r>
        <w:t>5. Communication</w:t>
      </w:r>
    </w:p>
    <w:p w14:paraId="4641767E" w14:textId="77777777" w:rsidR="00DF31B1" w:rsidRDefault="00D228A7">
      <w:pPr>
        <w:spacing w:after="120" w:line="276" w:lineRule="auto"/>
        <w:ind w:left="720" w:hanging="360"/>
      </w:pPr>
      <w:r>
        <w:t>• Recognise the central importance of effective, compassionate communication in delivering safe, person-centred care and positive staff and patient experience.</w:t>
      </w:r>
    </w:p>
    <w:p w14:paraId="586BAC32" w14:textId="77777777" w:rsidR="00DF31B1" w:rsidRDefault="00D228A7">
      <w:pPr>
        <w:spacing w:after="120" w:line="276" w:lineRule="auto"/>
        <w:ind w:left="720" w:hanging="360"/>
      </w:pPr>
      <w:r>
        <w:t>• Communicate clearly and regularly with colleagues, patients, carers and external partners using a range of methods, including face-to-face, telephone, Accurx messaging, written correspondence and virtual meetings.</w:t>
      </w:r>
    </w:p>
    <w:p w14:paraId="35B9CDA3" w14:textId="77777777" w:rsidR="00DF31B1" w:rsidRDefault="00D228A7">
      <w:pPr>
        <w:spacing w:after="120" w:line="276" w:lineRule="auto"/>
        <w:ind w:left="720" w:hanging="360"/>
      </w:pPr>
      <w:r>
        <w:t>• Build positive working relationships with a wide range of statutory and voluntary organisations to support integrated, personalised care.</w:t>
      </w:r>
    </w:p>
    <w:p w14:paraId="3412A707" w14:textId="77777777" w:rsidR="00DF31B1" w:rsidRDefault="00D228A7">
      <w:pPr>
        <w:spacing w:after="120" w:line="276" w:lineRule="auto"/>
        <w:ind w:left="720" w:hanging="360"/>
      </w:pPr>
      <w:r>
        <w:t>• Develop and deliver presentations and teaching sessions for local, regional or national events where appropriate, disseminating examples of good practice and innovation.</w:t>
      </w:r>
    </w:p>
    <w:p w14:paraId="4A9E95F4" w14:textId="77777777" w:rsidR="00DF31B1" w:rsidRDefault="00D228A7">
      <w:pPr>
        <w:spacing w:after="120" w:line="276" w:lineRule="auto"/>
        <w:ind w:left="720" w:hanging="360"/>
      </w:pPr>
      <w:r>
        <w:t>• Use highly developed communication skills to manage complexity, uncertainty, conflict and distress sensitively, including breaking bad news and managing complaints or concerns.</w:t>
      </w:r>
    </w:p>
    <w:p w14:paraId="40EB8663" w14:textId="77777777" w:rsidR="00DF31B1" w:rsidRDefault="00D228A7">
      <w:pPr>
        <w:spacing w:after="120" w:line="276" w:lineRule="auto"/>
        <w:ind w:left="720" w:hanging="360"/>
      </w:pPr>
      <w:r>
        <w:t>• Recognise people's need for alternative methods of communication, including interpreters, communication aids, easy-read and advocacy, and act to ensure equity of access.</w:t>
      </w:r>
    </w:p>
    <w:p w14:paraId="268F4827" w14:textId="77777777" w:rsidR="00DF31B1" w:rsidRDefault="00D228A7">
      <w:pPr>
        <w:spacing w:after="120" w:line="276" w:lineRule="auto"/>
        <w:ind w:left="720" w:hanging="360"/>
      </w:pPr>
      <w:r>
        <w:t>• Promote a culture of open, respectful communication and psychologically safe teamworking.</w:t>
      </w:r>
    </w:p>
    <w:p w14:paraId="61CFBEE2" w14:textId="77777777" w:rsidR="00DF31B1" w:rsidRDefault="00D228A7">
      <w:pPr>
        <w:pStyle w:val="Heading1"/>
        <w:spacing w:after="120" w:line="276" w:lineRule="auto"/>
      </w:pPr>
      <w:r>
        <w:t>6. Confidentiality, Information Governance and Digital Safety</w:t>
      </w:r>
    </w:p>
    <w:p w14:paraId="79DABF36" w14:textId="77777777" w:rsidR="00DF31B1" w:rsidRDefault="00D228A7">
      <w:pPr>
        <w:spacing w:after="120" w:line="276" w:lineRule="auto"/>
        <w:ind w:left="720" w:hanging="360"/>
      </w:pPr>
      <w:r>
        <w:t xml:space="preserve">• Respect and </w:t>
      </w:r>
      <w:proofErr w:type="gramStart"/>
      <w:r>
        <w:t>protect patient confidentiality at all times</w:t>
      </w:r>
      <w:proofErr w:type="gramEnd"/>
      <w:r>
        <w:t>, recognising the trust placed in the practice and in individual clinicians.</w:t>
      </w:r>
    </w:p>
    <w:p w14:paraId="57E67606" w14:textId="77777777" w:rsidR="00DF31B1" w:rsidRDefault="00D228A7">
      <w:pPr>
        <w:spacing w:after="120" w:line="276" w:lineRule="auto"/>
        <w:ind w:left="720" w:hanging="360"/>
      </w:pPr>
      <w:r>
        <w:t>• Handle confidential information relating to patients, carers, staff and the practice business in accordance with UK GDPR, the Data Protection Act 2018, Caldicott Principles, NHS Records Management Code of Practice, and practice and ICB information governance policies.</w:t>
      </w:r>
    </w:p>
    <w:p w14:paraId="3F4AA450" w14:textId="77777777" w:rsidR="00DF31B1" w:rsidRDefault="00D228A7">
      <w:pPr>
        <w:spacing w:after="120" w:line="276" w:lineRule="auto"/>
        <w:ind w:left="720" w:hanging="360"/>
      </w:pPr>
      <w:r>
        <w:lastRenderedPageBreak/>
        <w:t>• Ensure all use of clinical systems, including SystmOne, Accurx, Abtrace, the NHS App, NHSmail and any AI-enabled or automation-supported systems, complies with information governance, data security and privacy standards, including appropriate use of role-based access and smartcards.</w:t>
      </w:r>
    </w:p>
    <w:p w14:paraId="2D8E6CA0" w14:textId="77777777" w:rsidR="00DF31B1" w:rsidRDefault="00D228A7">
      <w:pPr>
        <w:spacing w:after="120" w:line="276" w:lineRule="auto"/>
        <w:ind w:left="720" w:hanging="360"/>
      </w:pPr>
      <w:r>
        <w:t>• Share information only with authorised persons and agencies and only where there is a lawful and ethical basis, such as direct care, safeguarding or public interest, documenting the rationale for information sharing where needed.</w:t>
      </w:r>
    </w:p>
    <w:p w14:paraId="4BEA0E9D" w14:textId="77777777" w:rsidR="00DF31B1" w:rsidRDefault="00D228A7">
      <w:pPr>
        <w:spacing w:after="120" w:line="276" w:lineRule="auto"/>
        <w:ind w:left="720" w:hanging="360"/>
      </w:pPr>
      <w:r>
        <w:t>• Ensure that any use of AI-enabled or automation-supported tools is consistent with local policy, clinical safety standards, patient confidentiality, data protection requirements and professional accountability.</w:t>
      </w:r>
    </w:p>
    <w:p w14:paraId="6D3F8ABA" w14:textId="77777777" w:rsidR="00DF31B1" w:rsidRDefault="00D228A7">
      <w:pPr>
        <w:spacing w:after="120" w:line="276" w:lineRule="auto"/>
        <w:ind w:left="720" w:hanging="360"/>
      </w:pPr>
      <w:r>
        <w:t>• Report clinical safety, information governance, data quality or digital system concerns promptly through practice reporting routes.</w:t>
      </w:r>
    </w:p>
    <w:p w14:paraId="39B9FEC7" w14:textId="77777777" w:rsidR="00DF31B1" w:rsidRDefault="00D228A7">
      <w:pPr>
        <w:pStyle w:val="Heading1"/>
        <w:spacing w:after="120" w:line="276" w:lineRule="auto"/>
      </w:pPr>
      <w:r>
        <w:t>7. Health and Safety / Risk Management</w:t>
      </w:r>
    </w:p>
    <w:p w14:paraId="2F6FDFDA" w14:textId="77777777" w:rsidR="00DF31B1" w:rsidRDefault="00D228A7">
      <w:pPr>
        <w:spacing w:after="120" w:line="276" w:lineRule="auto"/>
        <w:ind w:left="720" w:hanging="360"/>
      </w:pPr>
      <w:r>
        <w:t xml:space="preserve">• </w:t>
      </w:r>
      <w:proofErr w:type="gramStart"/>
      <w:r>
        <w:t>Comply at all times</w:t>
      </w:r>
      <w:proofErr w:type="gramEnd"/>
      <w:r>
        <w:t xml:space="preserve"> with the practice's and PCN's Health and Safety policies and procedures and with relevant legislation.</w:t>
      </w:r>
    </w:p>
    <w:p w14:paraId="71EB7394" w14:textId="77777777" w:rsidR="00DF31B1" w:rsidRDefault="00D228A7">
      <w:pPr>
        <w:spacing w:after="120" w:line="276" w:lineRule="auto"/>
        <w:ind w:left="720" w:hanging="360"/>
      </w:pPr>
      <w:r>
        <w:t>• Follow safe working procedures in all clinical areas, including infection prevention and control, sharps safety, waste management and use of PPE.</w:t>
      </w:r>
    </w:p>
    <w:p w14:paraId="70BDD63F" w14:textId="77777777" w:rsidR="00DF31B1" w:rsidRDefault="00D228A7">
      <w:pPr>
        <w:spacing w:after="120" w:line="276" w:lineRule="auto"/>
        <w:ind w:left="720" w:hanging="360"/>
      </w:pPr>
      <w:r>
        <w:t>• Use the organisation's incident reporting system to report, investigate and learn from clinical incidents, near misses and non-clinical risks, including digital, data and AI-enabled tool risks.</w:t>
      </w:r>
    </w:p>
    <w:p w14:paraId="3DD114DD" w14:textId="77777777" w:rsidR="00DF31B1" w:rsidRDefault="00D228A7">
      <w:pPr>
        <w:spacing w:after="120" w:line="276" w:lineRule="auto"/>
        <w:ind w:left="720" w:hanging="360"/>
      </w:pPr>
      <w:r>
        <w:t>• Contribute to risk assessments and implementation of control measures, including those relating to lone working, home visiting, clinical triage and digital consultations.</w:t>
      </w:r>
    </w:p>
    <w:p w14:paraId="191A445E" w14:textId="77777777" w:rsidR="00DF31B1" w:rsidRDefault="00D228A7">
      <w:pPr>
        <w:pStyle w:val="Heading1"/>
        <w:spacing w:after="120" w:line="276" w:lineRule="auto"/>
      </w:pPr>
      <w:r>
        <w:t>8. Equality, Diversity and Inclusion</w:t>
      </w:r>
    </w:p>
    <w:p w14:paraId="1FBD9B13" w14:textId="77777777" w:rsidR="00DF31B1" w:rsidRDefault="00D228A7">
      <w:pPr>
        <w:spacing w:after="120" w:line="276" w:lineRule="auto"/>
        <w:ind w:left="720" w:hanging="360"/>
      </w:pPr>
      <w:r>
        <w:t>• Uphold and promote equality, diversity and inclusion in all aspects of work, in line with the Equality Act 2010 and NHS values.</w:t>
      </w:r>
    </w:p>
    <w:p w14:paraId="47F2E1F9" w14:textId="77777777" w:rsidR="00DF31B1" w:rsidRDefault="00D228A7">
      <w:pPr>
        <w:spacing w:after="120" w:line="276" w:lineRule="auto"/>
        <w:ind w:left="720" w:hanging="360"/>
      </w:pPr>
      <w:r>
        <w:t>• Treat colleagues, patients and visitors fairly and with dignity, irrespective of age, disability, gender identity, race, religion or belief, sex, sexual orientation, marital status, pregnancy and maternity or socio-economic status.</w:t>
      </w:r>
    </w:p>
    <w:p w14:paraId="4BD3DE87" w14:textId="77777777" w:rsidR="00DF31B1" w:rsidRDefault="00D228A7">
      <w:pPr>
        <w:spacing w:after="120" w:line="276" w:lineRule="auto"/>
        <w:ind w:left="720" w:hanging="360"/>
      </w:pPr>
      <w:r>
        <w:t>• Actively work to reduce health inequalities, structural disadvantage and unwarranted variation in access and outcomes, including through targeted use of digital tools, outreach and reasonable adjustments.</w:t>
      </w:r>
    </w:p>
    <w:p w14:paraId="1A0CCF6A" w14:textId="77777777" w:rsidR="00DF31B1" w:rsidRDefault="00D228A7">
      <w:pPr>
        <w:spacing w:after="120" w:line="276" w:lineRule="auto"/>
        <w:ind w:left="720" w:hanging="360"/>
      </w:pPr>
      <w:r>
        <w:t>• Consider equality, bias, accessibility and digital exclusion risks when using triage systems, automation or AI-enabled tools.</w:t>
      </w:r>
    </w:p>
    <w:p w14:paraId="787DDE56" w14:textId="77777777" w:rsidR="00DF31B1" w:rsidRDefault="00D228A7">
      <w:pPr>
        <w:pStyle w:val="Heading1"/>
        <w:spacing w:after="120" w:line="276" w:lineRule="auto"/>
      </w:pPr>
      <w:r>
        <w:lastRenderedPageBreak/>
        <w:t>9. Special Working Conditions</w:t>
      </w:r>
    </w:p>
    <w:p w14:paraId="0FC7785D" w14:textId="77777777" w:rsidR="00DF31B1" w:rsidRDefault="00D228A7">
      <w:pPr>
        <w:spacing w:after="120" w:line="276" w:lineRule="auto"/>
        <w:ind w:left="720" w:hanging="360"/>
      </w:pPr>
      <w:r>
        <w:t>• Travel independently between practice sites and to meetings at PCN, ICB or other partner locations as required.</w:t>
      </w:r>
    </w:p>
    <w:p w14:paraId="726149A5" w14:textId="77777777" w:rsidR="00DF31B1" w:rsidRDefault="00D228A7">
      <w:pPr>
        <w:spacing w:after="120" w:line="276" w:lineRule="auto"/>
        <w:ind w:left="720" w:hanging="360"/>
      </w:pPr>
      <w:r>
        <w:t>• Work in clinical environments where there is regular contact with body fluids, such as blood, wound exudate and urine, and potentially infectious material, adhering strictly to infection prevention and control guidance.</w:t>
      </w:r>
    </w:p>
    <w:p w14:paraId="1953322F" w14:textId="77777777" w:rsidR="00DF31B1" w:rsidRDefault="00D228A7">
      <w:pPr>
        <w:spacing w:after="120" w:line="276" w:lineRule="auto"/>
        <w:ind w:left="720" w:hanging="360"/>
      </w:pPr>
      <w:r>
        <w:t>• Work flexibly across extended hours, such as Enhanced Access hubs, where required by the practice or PCN.</w:t>
      </w:r>
    </w:p>
    <w:p w14:paraId="27B8F6A3" w14:textId="77777777" w:rsidR="00DF31B1" w:rsidRDefault="00D228A7">
      <w:pPr>
        <w:pStyle w:val="Heading1"/>
        <w:spacing w:after="120" w:line="276" w:lineRule="auto"/>
      </w:pPr>
      <w:r>
        <w:t>10. Flexibility and Role Development</w:t>
      </w:r>
    </w:p>
    <w:p w14:paraId="7DDAA294" w14:textId="77777777" w:rsidR="00DF31B1" w:rsidRDefault="00D228A7">
      <w:r>
        <w:t>This job description is not exhaustive or restrictive. Duties and responsibilities may vary depending on the needs of the practice, PCN, ICB, patients, service development, digital transformation, the postholder's role, experience, competencies, scope of practice and ongoing professional development.</w:t>
      </w:r>
    </w:p>
    <w:p w14:paraId="479C0007" w14:textId="77777777" w:rsidR="00DF31B1" w:rsidRDefault="00D228A7">
      <w:r>
        <w:t>The postholder may be required to undertake other duties that are appropriate to the role and level of responsibility, following discussion and agreement with the practice.</w:t>
      </w:r>
    </w:p>
    <w:p w14:paraId="46B9D48D" w14:textId="77777777" w:rsidR="00DF31B1" w:rsidRDefault="00D228A7">
      <w:r>
        <w:t>The role may develop over time to include additional responsibilities, systems, digital tools, AI-enabled tools, clinical pathways, leadership functions or areas of specialist practice, provided these are supported by appropriate training, supervision, governance and professional accountability.</w:t>
      </w:r>
    </w:p>
    <w:sectPr w:rsidR="00DF3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830D" w14:textId="77777777" w:rsidR="00C903A5" w:rsidRDefault="00C903A5" w:rsidP="00C903A5">
      <w:pPr>
        <w:spacing w:after="0" w:line="240" w:lineRule="auto"/>
      </w:pPr>
      <w:r>
        <w:separator/>
      </w:r>
    </w:p>
  </w:endnote>
  <w:endnote w:type="continuationSeparator" w:id="0">
    <w:p w14:paraId="130BB454" w14:textId="77777777" w:rsidR="00C903A5" w:rsidRDefault="00C903A5" w:rsidP="00C9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57D7" w14:textId="77777777" w:rsidR="00C903A5" w:rsidRDefault="00C903A5" w:rsidP="00C903A5">
      <w:pPr>
        <w:spacing w:after="0" w:line="240" w:lineRule="auto"/>
      </w:pPr>
      <w:r>
        <w:separator/>
      </w:r>
    </w:p>
  </w:footnote>
  <w:footnote w:type="continuationSeparator" w:id="0">
    <w:p w14:paraId="2D8298E3" w14:textId="77777777" w:rsidR="00C903A5" w:rsidRDefault="00C903A5" w:rsidP="00C90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760"/>
    <w:multiLevelType w:val="multilevel"/>
    <w:tmpl w:val="FBB6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E50F1"/>
    <w:multiLevelType w:val="multilevel"/>
    <w:tmpl w:val="C544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6278A"/>
    <w:multiLevelType w:val="multilevel"/>
    <w:tmpl w:val="071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E6554"/>
    <w:multiLevelType w:val="multilevel"/>
    <w:tmpl w:val="2D4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B5456"/>
    <w:multiLevelType w:val="multilevel"/>
    <w:tmpl w:val="4F20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B5423"/>
    <w:multiLevelType w:val="multilevel"/>
    <w:tmpl w:val="0506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94AEB"/>
    <w:multiLevelType w:val="multilevel"/>
    <w:tmpl w:val="CA58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C1EB5"/>
    <w:multiLevelType w:val="multilevel"/>
    <w:tmpl w:val="86B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F2897"/>
    <w:multiLevelType w:val="multilevel"/>
    <w:tmpl w:val="D266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E590F"/>
    <w:multiLevelType w:val="multilevel"/>
    <w:tmpl w:val="DB90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222DC"/>
    <w:multiLevelType w:val="multilevel"/>
    <w:tmpl w:val="164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B2AB9"/>
    <w:multiLevelType w:val="multilevel"/>
    <w:tmpl w:val="50CE5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65C8B"/>
    <w:multiLevelType w:val="multilevel"/>
    <w:tmpl w:val="FAAAF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077BB"/>
    <w:multiLevelType w:val="multilevel"/>
    <w:tmpl w:val="31F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2376B"/>
    <w:multiLevelType w:val="multilevel"/>
    <w:tmpl w:val="72E4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214F1"/>
    <w:multiLevelType w:val="multilevel"/>
    <w:tmpl w:val="3B6C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43998"/>
    <w:multiLevelType w:val="multilevel"/>
    <w:tmpl w:val="639E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059292">
    <w:abstractNumId w:val="2"/>
  </w:num>
  <w:num w:numId="2" w16cid:durableId="629556481">
    <w:abstractNumId w:val="5"/>
  </w:num>
  <w:num w:numId="3" w16cid:durableId="297926727">
    <w:abstractNumId w:val="15"/>
  </w:num>
  <w:num w:numId="4" w16cid:durableId="1742217199">
    <w:abstractNumId w:val="13"/>
  </w:num>
  <w:num w:numId="5" w16cid:durableId="1987927877">
    <w:abstractNumId w:val="7"/>
  </w:num>
  <w:num w:numId="6" w16cid:durableId="158232273">
    <w:abstractNumId w:val="4"/>
  </w:num>
  <w:num w:numId="7" w16cid:durableId="241181427">
    <w:abstractNumId w:val="3"/>
  </w:num>
  <w:num w:numId="8" w16cid:durableId="1319729398">
    <w:abstractNumId w:val="16"/>
  </w:num>
  <w:num w:numId="9" w16cid:durableId="1926836385">
    <w:abstractNumId w:val="8"/>
  </w:num>
  <w:num w:numId="10" w16cid:durableId="1220900133">
    <w:abstractNumId w:val="9"/>
  </w:num>
  <w:num w:numId="11" w16cid:durableId="1482234079">
    <w:abstractNumId w:val="12"/>
  </w:num>
  <w:num w:numId="12" w16cid:durableId="1085230557">
    <w:abstractNumId w:val="10"/>
  </w:num>
  <w:num w:numId="13" w16cid:durableId="989361192">
    <w:abstractNumId w:val="11"/>
  </w:num>
  <w:num w:numId="14" w16cid:durableId="855582036">
    <w:abstractNumId w:val="14"/>
  </w:num>
  <w:num w:numId="15" w16cid:durableId="644353578">
    <w:abstractNumId w:val="6"/>
  </w:num>
  <w:num w:numId="16" w16cid:durableId="217205057">
    <w:abstractNumId w:val="1"/>
  </w:num>
  <w:num w:numId="17" w16cid:durableId="204147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5A"/>
    <w:rsid w:val="00191AB6"/>
    <w:rsid w:val="00497EFF"/>
    <w:rsid w:val="005F1146"/>
    <w:rsid w:val="006553FC"/>
    <w:rsid w:val="00843755"/>
    <w:rsid w:val="0099244F"/>
    <w:rsid w:val="00AF4534"/>
    <w:rsid w:val="00C903A5"/>
    <w:rsid w:val="00D228A7"/>
    <w:rsid w:val="00DA6C5A"/>
    <w:rsid w:val="00DF31B1"/>
    <w:rsid w:val="00FA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DB461"/>
  <w15:chartTrackingRefBased/>
  <w15:docId w15:val="{498865FE-4B67-4B9E-B70E-9554DC71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C5A"/>
    <w:rPr>
      <w:rFonts w:eastAsiaTheme="majorEastAsia" w:cstheme="majorBidi"/>
      <w:color w:val="272727" w:themeColor="text1" w:themeTint="D8"/>
    </w:rPr>
  </w:style>
  <w:style w:type="paragraph" w:styleId="Title">
    <w:name w:val="Title"/>
    <w:basedOn w:val="Normal"/>
    <w:next w:val="Normal"/>
    <w:link w:val="TitleChar"/>
    <w:uiPriority w:val="10"/>
    <w:qFormat/>
    <w:rsid w:val="00DA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C5A"/>
    <w:pPr>
      <w:spacing w:before="160"/>
      <w:jc w:val="center"/>
    </w:pPr>
    <w:rPr>
      <w:i/>
      <w:iCs/>
      <w:color w:val="404040" w:themeColor="text1" w:themeTint="BF"/>
    </w:rPr>
  </w:style>
  <w:style w:type="character" w:customStyle="1" w:styleId="QuoteChar">
    <w:name w:val="Quote Char"/>
    <w:basedOn w:val="DefaultParagraphFont"/>
    <w:link w:val="Quote"/>
    <w:uiPriority w:val="29"/>
    <w:rsid w:val="00DA6C5A"/>
    <w:rPr>
      <w:i/>
      <w:iCs/>
      <w:color w:val="404040" w:themeColor="text1" w:themeTint="BF"/>
    </w:rPr>
  </w:style>
  <w:style w:type="paragraph" w:styleId="ListParagraph">
    <w:name w:val="List Paragraph"/>
    <w:basedOn w:val="Normal"/>
    <w:uiPriority w:val="34"/>
    <w:qFormat/>
    <w:rsid w:val="00DA6C5A"/>
    <w:pPr>
      <w:ind w:left="720"/>
      <w:contextualSpacing/>
    </w:pPr>
  </w:style>
  <w:style w:type="character" w:styleId="IntenseEmphasis">
    <w:name w:val="Intense Emphasis"/>
    <w:basedOn w:val="DefaultParagraphFont"/>
    <w:uiPriority w:val="21"/>
    <w:qFormat/>
    <w:rsid w:val="00DA6C5A"/>
    <w:rPr>
      <w:i/>
      <w:iCs/>
      <w:color w:val="0F4761" w:themeColor="accent1" w:themeShade="BF"/>
    </w:rPr>
  </w:style>
  <w:style w:type="paragraph" w:styleId="IntenseQuote">
    <w:name w:val="Intense Quote"/>
    <w:basedOn w:val="Normal"/>
    <w:next w:val="Normal"/>
    <w:link w:val="IntenseQuoteChar"/>
    <w:uiPriority w:val="30"/>
    <w:qFormat/>
    <w:rsid w:val="00DA6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C5A"/>
    <w:rPr>
      <w:i/>
      <w:iCs/>
      <w:color w:val="0F4761" w:themeColor="accent1" w:themeShade="BF"/>
    </w:rPr>
  </w:style>
  <w:style w:type="character" w:styleId="IntenseReference">
    <w:name w:val="Intense Reference"/>
    <w:basedOn w:val="DefaultParagraphFont"/>
    <w:uiPriority w:val="32"/>
    <w:qFormat/>
    <w:rsid w:val="00DA6C5A"/>
    <w:rPr>
      <w:b/>
      <w:bCs/>
      <w:smallCaps/>
      <w:color w:val="0F4761" w:themeColor="accent1" w:themeShade="BF"/>
      <w:spacing w:val="5"/>
    </w:rPr>
  </w:style>
  <w:style w:type="character" w:styleId="Hyperlink">
    <w:name w:val="Hyperlink"/>
    <w:basedOn w:val="DefaultParagraphFont"/>
    <w:uiPriority w:val="99"/>
    <w:unhideWhenUsed/>
    <w:rsid w:val="00DA6C5A"/>
    <w:rPr>
      <w:color w:val="467886" w:themeColor="hyperlink"/>
      <w:u w:val="single"/>
    </w:rPr>
  </w:style>
  <w:style w:type="character" w:styleId="UnresolvedMention">
    <w:name w:val="Unresolved Mention"/>
    <w:basedOn w:val="DefaultParagraphFont"/>
    <w:uiPriority w:val="99"/>
    <w:semiHidden/>
    <w:unhideWhenUsed/>
    <w:rsid w:val="00DA6C5A"/>
    <w:rPr>
      <w:color w:val="605E5C"/>
      <w:shd w:val="clear" w:color="auto" w:fill="E1DFDD"/>
    </w:rPr>
  </w:style>
  <w:style w:type="paragraph" w:styleId="Header">
    <w:name w:val="header"/>
    <w:basedOn w:val="Normal"/>
    <w:link w:val="HeaderChar"/>
    <w:uiPriority w:val="99"/>
    <w:unhideWhenUsed/>
    <w:rsid w:val="00C90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3A5"/>
  </w:style>
  <w:style w:type="paragraph" w:styleId="Footer">
    <w:name w:val="footer"/>
    <w:basedOn w:val="Normal"/>
    <w:link w:val="FooterChar"/>
    <w:uiPriority w:val="99"/>
    <w:unhideWhenUsed/>
    <w:rsid w:val="00C90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3027</Words>
  <Characters>17257</Characters>
  <Application>Microsoft Office Word</Application>
  <DocSecurity>0</DocSecurity>
  <Lines>143</Lines>
  <Paragraphs>40</Paragraphs>
  <ScaleCrop>false</ScaleCrop>
  <Company>NHS</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JEEBUN, Hemma (EAST LYNNE MEDICAL CENTRE)</dc:creator>
  <cp:keywords/>
  <dc:description/>
  <cp:lastModifiedBy>FORECAST, Allison (EAST LYNNE MEDICAL CENTRE)</cp:lastModifiedBy>
  <cp:revision>2</cp:revision>
  <dcterms:created xsi:type="dcterms:W3CDTF">2026-04-29T12:58:00Z</dcterms:created>
  <dcterms:modified xsi:type="dcterms:W3CDTF">2026-04-29T12:58:00Z</dcterms:modified>
</cp:coreProperties>
</file>